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ВОРОНИХИНСКИЙ СЕЛЬСКИЙ СОВЕТ НАРОДНЫХ ДЕПУТАТОВ ВОРОНИХИНСКОГО СЕЛЬСОВЕТА РЕБРИХИНСКОГО РАЙОНА АЛТАЙСКОГО КРАЯ</w:t>
      </w:r>
    </w:p>
    <w:p w:rsidR="005C70FD" w:rsidRPr="00FA5138" w:rsidRDefault="005C70FD">
      <w:pPr>
        <w:jc w:val="left"/>
        <w:rPr>
          <w:lang w:val="ru-RU"/>
        </w:rPr>
      </w:pPr>
    </w:p>
    <w:p w:rsidR="00364A7E" w:rsidRDefault="00364A7E" w:rsidP="00364A7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4A7E" w:rsidRDefault="00364A7E" w:rsidP="00364A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7D5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364A7E" w:rsidRPr="009855BA" w:rsidRDefault="000E599C" w:rsidP="00364A7E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28.12.2023                  </w:t>
      </w:r>
      <w:r w:rsidR="00364A7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43</w:t>
      </w:r>
    </w:p>
    <w:p w:rsidR="00364A7E" w:rsidRPr="007D5EF8" w:rsidRDefault="00364A7E" w:rsidP="00364A7E">
      <w:pPr>
        <w:jc w:val="center"/>
        <w:rPr>
          <w:lang w:val="ru-RU"/>
        </w:rPr>
      </w:pPr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орониха</w:t>
      </w:r>
    </w:p>
    <w:p w:rsidR="00364A7E" w:rsidRPr="00D2129A" w:rsidRDefault="00364A7E" w:rsidP="00364A7E">
      <w:pPr>
        <w:rPr>
          <w:lang w:val="ru-RU"/>
        </w:rPr>
      </w:pPr>
    </w:p>
    <w:p w:rsidR="00364A7E" w:rsidRPr="00FE615C" w:rsidRDefault="00364A7E" w:rsidP="00364A7E">
      <w:pPr>
        <w:jc w:val="center"/>
        <w:rPr>
          <w:lang w:val="ru-RU"/>
        </w:rPr>
      </w:pPr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364A7E" w:rsidRPr="00FE615C" w:rsidRDefault="00364A7E" w:rsidP="00364A7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</w:t>
      </w:r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98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статьей 22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498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района Алтайского края, рассмотрев итоговый документ публичных слушаний по вопросу «О проекте 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7498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574982">
        <w:rPr>
          <w:rFonts w:ascii="Times New Roman" w:hAnsi="Times New Roman"/>
          <w:sz w:val="28"/>
          <w:szCs w:val="28"/>
        </w:rPr>
        <w:t xml:space="preserve"> год</w:t>
      </w:r>
      <w:r w:rsidRPr="006325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на плановый период 2025 и 2026</w:t>
      </w:r>
      <w:r w:rsidRPr="00632594">
        <w:rPr>
          <w:rFonts w:ascii="Times New Roman" w:hAnsi="Times New Roman"/>
          <w:bCs/>
          <w:sz w:val="28"/>
          <w:szCs w:val="28"/>
        </w:rPr>
        <w:t xml:space="preserve"> годов</w:t>
      </w:r>
      <w:r w:rsidRPr="0057498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gramEnd"/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РЕШИЛ:</w:t>
      </w:r>
    </w:p>
    <w:p w:rsidR="00364A7E" w:rsidRDefault="00364A7E" w:rsidP="00364A7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64A7E" w:rsidRPr="00DF7148" w:rsidRDefault="00364A7E" w:rsidP="00364A7E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7148">
        <w:rPr>
          <w:rFonts w:ascii="Times New Roman" w:hAnsi="Times New Roman" w:cs="Times New Roman"/>
          <w:sz w:val="28"/>
          <w:szCs w:val="28"/>
          <w:lang w:val="ru-RU"/>
        </w:rPr>
        <w:t>1. Принять  решение «</w:t>
      </w:r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Воронихинского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2024 год и на плановый период 2025 и 2026</w:t>
      </w:r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2.Направить настоящее решение главе сельсовета на подписание.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Pr="00091658">
        <w:t xml:space="preserve"> </w:t>
      </w:r>
      <w:r w:rsidRPr="00091658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решение</w:t>
      </w:r>
      <w:r w:rsidRPr="00091658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091658">
        <w:rPr>
          <w:rFonts w:ascii="Times New Roman" w:hAnsi="Times New Roman"/>
          <w:sz w:val="28"/>
          <w:szCs w:val="28"/>
        </w:rPr>
        <w:t xml:space="preserve"> района Алтайского края, 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1658">
        <w:rPr>
          <w:rFonts w:ascii="Times New Roman" w:hAnsi="Times New Roman"/>
          <w:sz w:val="28"/>
          <w:szCs w:val="28"/>
        </w:rPr>
        <w:t xml:space="preserve">разместить на информационном стенде Администрации </w:t>
      </w:r>
      <w:proofErr w:type="spellStart"/>
      <w:r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091658">
        <w:rPr>
          <w:rFonts w:ascii="Times New Roman" w:hAnsi="Times New Roman"/>
          <w:sz w:val="28"/>
          <w:szCs w:val="28"/>
        </w:rPr>
        <w:t xml:space="preserve"> 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1658">
        <w:rPr>
          <w:rFonts w:ascii="Times New Roman" w:hAnsi="Times New Roman"/>
          <w:sz w:val="28"/>
          <w:szCs w:val="28"/>
        </w:rPr>
        <w:t xml:space="preserve">сельсовета и разместить на официальном сайте Администрации 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091658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исполнением 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64A7E" w:rsidRDefault="00364A7E" w:rsidP="00364A7E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постоянную комиссию планово-бюджетную и по социальным вопросам.</w:t>
      </w:r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4A7E" w:rsidRDefault="00364A7E" w:rsidP="00364A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4A7E" w:rsidRDefault="00364A7E" w:rsidP="00364A7E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</w:t>
      </w:r>
    </w:p>
    <w:p w:rsidR="00364A7E" w:rsidRDefault="00364A7E" w:rsidP="00364A7E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народных депутатов                                                            И.А.Беккер     </w:t>
      </w:r>
    </w:p>
    <w:p w:rsidR="00364A7E" w:rsidRDefault="00364A7E" w:rsidP="00364A7E">
      <w:pPr>
        <w:jc w:val="left"/>
        <w:rPr>
          <w:lang w:val="ru-RU"/>
        </w:rPr>
      </w:pPr>
    </w:p>
    <w:p w:rsidR="00364A7E" w:rsidRPr="00984E2B" w:rsidRDefault="00364A7E" w:rsidP="00364A7E">
      <w:pPr>
        <w:ind w:left="-360"/>
        <w:rPr>
          <w:lang w:val="ru-RU"/>
        </w:rPr>
      </w:pPr>
      <w:proofErr w:type="spellStart"/>
      <w:r w:rsidRPr="00984E2B">
        <w:rPr>
          <w:lang w:val="ru-RU"/>
        </w:rPr>
        <w:t>Антикоррупционная</w:t>
      </w:r>
      <w:proofErr w:type="spellEnd"/>
      <w:r w:rsidRPr="00984E2B">
        <w:rPr>
          <w:lang w:val="ru-RU"/>
        </w:rPr>
        <w:t xml:space="preserve"> экспертиза проекта муниципального правового акта проведена. </w:t>
      </w:r>
      <w:proofErr w:type="spellStart"/>
      <w:r w:rsidRPr="00984E2B">
        <w:rPr>
          <w:lang w:val="ru-RU"/>
        </w:rPr>
        <w:t>Коррупциогенных</w:t>
      </w:r>
      <w:proofErr w:type="spellEnd"/>
      <w:r w:rsidRPr="00984E2B">
        <w:rPr>
          <w:lang w:val="ru-RU"/>
        </w:rPr>
        <w:t xml:space="preserve">  факторов  не  выявлено.</w:t>
      </w:r>
    </w:p>
    <w:p w:rsidR="00364A7E" w:rsidRPr="00984E2B" w:rsidRDefault="00364A7E" w:rsidP="00364A7E">
      <w:pPr>
        <w:rPr>
          <w:lang w:val="ru-RU"/>
        </w:rPr>
      </w:pPr>
      <w:r>
        <w:rPr>
          <w:lang w:val="ru-RU"/>
        </w:rPr>
        <w:t>Гл</w:t>
      </w:r>
      <w:r w:rsidRPr="00984E2B">
        <w:rPr>
          <w:lang w:val="ru-RU"/>
        </w:rPr>
        <w:t xml:space="preserve">ава  сельсовета                                    </w:t>
      </w:r>
      <w:proofErr w:type="spellStart"/>
      <w:r w:rsidRPr="00984E2B">
        <w:rPr>
          <w:lang w:val="ru-RU"/>
        </w:rPr>
        <w:t>С.А.Реунов</w:t>
      </w:r>
      <w:proofErr w:type="spellEnd"/>
    </w:p>
    <w:p w:rsidR="00364A7E" w:rsidRDefault="00364A7E" w:rsidP="00364A7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4A7E" w:rsidRDefault="00364A7E" w:rsidP="00364A7E">
      <w:pPr>
        <w:pStyle w:val="a4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Принято </w:t>
      </w:r>
    </w:p>
    <w:p w:rsidR="00364A7E" w:rsidRDefault="00364A7E" w:rsidP="00364A7E">
      <w:pPr>
        <w:pStyle w:val="a4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364A7E" w:rsidRDefault="00364A7E" w:rsidP="00364A7E">
      <w:pPr>
        <w:pStyle w:val="a4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proofErr w:type="gramStart"/>
      <w:r>
        <w:rPr>
          <w:szCs w:val="28"/>
        </w:rPr>
        <w:t xml:space="preserve">                     .</w:t>
      </w:r>
      <w:proofErr w:type="gramEnd"/>
      <w:r>
        <w:rPr>
          <w:szCs w:val="28"/>
        </w:rPr>
        <w:t xml:space="preserve"> № </w:t>
      </w:r>
    </w:p>
    <w:p w:rsidR="005C70FD" w:rsidRPr="00FA5138" w:rsidRDefault="005C70FD">
      <w:pPr>
        <w:jc w:val="left"/>
        <w:rPr>
          <w:lang w:val="ru-RU"/>
        </w:rPr>
      </w:pPr>
    </w:p>
    <w:p w:rsidR="005C70FD" w:rsidRDefault="00BB1DF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C70FD">
        <w:tc>
          <w:tcPr>
            <w:tcW w:w="2830" w:type="pct"/>
          </w:tcPr>
          <w:p w:rsidR="005C70FD" w:rsidRPr="00364A7E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5C70FD" w:rsidRDefault="005C70FD">
            <w:pPr>
              <w:jc w:val="right"/>
            </w:pPr>
          </w:p>
        </w:tc>
      </w:tr>
    </w:tbl>
    <w:p w:rsidR="005C70FD" w:rsidRDefault="005C70FD">
      <w:pPr>
        <w:jc w:val="left"/>
      </w:pPr>
    </w:p>
    <w:p w:rsidR="005C70FD" w:rsidRDefault="00BB1DF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с.Ворониха</w:t>
      </w:r>
      <w:proofErr w:type="spellEnd"/>
    </w:p>
    <w:p w:rsidR="005C70FD" w:rsidRDefault="005C70FD">
      <w:pPr>
        <w:jc w:val="left"/>
      </w:pPr>
    </w:p>
    <w:p w:rsidR="005C70FD" w:rsidRDefault="005C70FD">
      <w:pPr>
        <w:jc w:val="left"/>
      </w:pP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1 745,2 тыс. рублей, в том числе объем межбюджетных трансфертов, получаемых из других бюджетов, в сумме 865,2 тыс. рублей;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1 745,2 тыс. рублей;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5C70FD" w:rsidRPr="00FA5138" w:rsidRDefault="00BB1DFD">
      <w:pPr>
        <w:ind w:firstLine="800"/>
        <w:rPr>
          <w:lang w:val="ru-RU"/>
        </w:rPr>
      </w:pP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1 496,9 тыс.  рублей,  в  том  числе  объем 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607,9 тыс. рублей и на 2026 год в сумме 1 524,2 тыс. рублей,  в  том  числе объем межбюджетных трансфертов, получаемых из других бюджетов, в сумме 622,2 тыс. рублей;</w:t>
      </w:r>
      <w:proofErr w:type="gramEnd"/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1 496,9 тыс. рублей, в том числе условно утвержденные расходы в сумме 24,0 тыс. рублей  и 2026 год  в  сумме 1 524,2 тыс. рублей, в том числе условно утвержденные расходы в сумме 48,0 тыс. рублей;</w:t>
      </w:r>
    </w:p>
    <w:p w:rsidR="005C70FD" w:rsidRPr="00FA5138" w:rsidRDefault="00BB1DFD">
      <w:pPr>
        <w:ind w:firstLine="800"/>
        <w:rPr>
          <w:lang w:val="ru-RU"/>
        </w:rPr>
      </w:pP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C70FD" w:rsidRPr="000E599C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14,4 тыс. рублей, на 2025 год в сумме 14,4 тыс. рублей и на 2026 год в сумме 14,4 тыс. рублей.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031E50" w:rsidRDefault="00BB1DFD">
      <w:pPr>
        <w:ind w:firstLine="800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2024 год и на плановый период 2025 и 2026 годов,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5C70FD" w:rsidRPr="000E599C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2024 год согласно приложению </w:t>
      </w: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к настоящему Решению и на плановый период 2025 и 2026 годов, согласно приложению </w:t>
      </w:r>
      <w:r w:rsidRPr="000E599C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5C70FD" w:rsidRPr="000E599C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1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C70FD" w:rsidRPr="00FA5138" w:rsidRDefault="005C70FD">
      <w:pPr>
        <w:ind w:firstLine="800"/>
        <w:rPr>
          <w:lang w:val="ru-RU"/>
        </w:rPr>
      </w:pPr>
    </w:p>
    <w:p w:rsidR="005C70FD" w:rsidRPr="00FA5138" w:rsidRDefault="00BB1DFD">
      <w:pPr>
        <w:ind w:firstLine="800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C70FD">
        <w:tc>
          <w:tcPr>
            <w:tcW w:w="2830" w:type="pct"/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5C70FD" w:rsidRDefault="00BB1DF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С.А.Реунов</w:t>
            </w:r>
            <w:proofErr w:type="spellEnd"/>
          </w:p>
        </w:tc>
      </w:tr>
    </w:tbl>
    <w:p w:rsidR="005C70FD" w:rsidRDefault="005C70FD">
      <w:pPr>
        <w:jc w:val="left"/>
      </w:pPr>
    </w:p>
    <w:p w:rsidR="005C70FD" w:rsidRDefault="005C70FD"/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C70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70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0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0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5C70FD">
      <w:pPr>
        <w:jc w:val="left"/>
        <w:rPr>
          <w:lang w:val="ru-RU"/>
        </w:rPr>
      </w:pP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5C70FD" w:rsidRPr="000E599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C70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0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0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5C70FD" w:rsidRPr="00FA5138" w:rsidRDefault="005C70FD">
      <w:pPr>
        <w:rPr>
          <w:lang w:val="ru-RU"/>
        </w:rPr>
      </w:pPr>
    </w:p>
    <w:p w:rsidR="005C70FD" w:rsidRPr="00FA5138" w:rsidRDefault="005C70FD">
      <w:pPr>
        <w:rPr>
          <w:lang w:val="ru-RU"/>
        </w:rPr>
      </w:pPr>
    </w:p>
    <w:p w:rsidR="005C70FD" w:rsidRPr="00FA5138" w:rsidRDefault="005C70FD">
      <w:pPr>
        <w:rPr>
          <w:lang w:val="ru-RU"/>
        </w:rPr>
      </w:pP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C70FD" w:rsidRPr="00FA5138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5C70FD" w:rsidRPr="00FA5138" w:rsidRDefault="005C70FD">
      <w:pPr>
        <w:rPr>
          <w:lang w:val="ru-RU"/>
        </w:rPr>
      </w:pPr>
    </w:p>
    <w:p w:rsidR="005C70FD" w:rsidRPr="00FA5138" w:rsidRDefault="005C70FD">
      <w:pPr>
        <w:rPr>
          <w:lang w:val="ru-RU"/>
        </w:rPr>
      </w:pPr>
    </w:p>
    <w:p w:rsidR="005C70FD" w:rsidRPr="00FA5138" w:rsidRDefault="005C70FD">
      <w:pPr>
        <w:rPr>
          <w:lang w:val="ru-RU"/>
        </w:rPr>
      </w:pPr>
    </w:p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5C70FD" w:rsidRPr="00FA5138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5C70FD" w:rsidRPr="000E599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left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C70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C70FD" w:rsidRDefault="005C70FD">
            <w:pPr>
              <w:jc w:val="left"/>
            </w:pP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C70FD" w:rsidRDefault="005C70FD">
            <w:pPr>
              <w:jc w:val="left"/>
            </w:pPr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</w:tbl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5C70FD" w:rsidRDefault="005C70FD"/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C70FD" w:rsidRDefault="005C70FD">
            <w:pPr>
              <w:jc w:val="left"/>
            </w:pP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C70FD" w:rsidRDefault="005C70FD">
            <w:pPr>
              <w:jc w:val="left"/>
            </w:pPr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</w:tbl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C70FD" w:rsidRPr="000E599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jc w:val="center"/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1 476,2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РФ и органов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чрезвычайных ситуаций в границах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C70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5C70FD" w:rsidRDefault="005C70FD"/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A5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5C70FD" w:rsidRPr="000E599C"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FA5138" w:rsidRDefault="005C70FD">
            <w:pPr>
              <w:jc w:val="left"/>
              <w:rPr>
                <w:lang w:val="ru-RU"/>
              </w:rPr>
            </w:pPr>
          </w:p>
        </w:tc>
      </w:tr>
    </w:tbl>
    <w:p w:rsidR="005C70FD" w:rsidRPr="00FA5138" w:rsidRDefault="00BB1DFD">
      <w:pPr>
        <w:jc w:val="center"/>
        <w:rPr>
          <w:lang w:val="ru-RU"/>
        </w:rPr>
      </w:pPr>
      <w:r w:rsidRPr="00FA51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C70FD" w:rsidRPr="00FA5138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FA5138" w:rsidRDefault="00BB1DFD">
            <w:pPr>
              <w:rPr>
                <w:lang w:val="ru-RU"/>
              </w:rPr>
            </w:pPr>
            <w:r w:rsidRPr="00FA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5C70FD" w:rsidRDefault="005C70FD"/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C70FD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>
            <w:pPr>
              <w:jc w:val="left"/>
            </w:pPr>
          </w:p>
        </w:tc>
        <w:tc>
          <w:tcPr>
            <w:tcW w:w="2500" w:type="pct"/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jc w:val="left"/>
              <w:rPr>
                <w:lang w:val="ru-RU"/>
              </w:rPr>
            </w:pPr>
          </w:p>
        </w:tc>
      </w:tr>
    </w:tbl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5C70FD" w:rsidRPr="00031E50" w:rsidRDefault="005C70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5C70FD" w:rsidRPr="000E599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1 476,2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C70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5C70FD" w:rsidRDefault="005C70FD"/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C70FD" w:rsidRPr="000E599C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</w:tbl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5C70FD" w:rsidRPr="00031E50" w:rsidRDefault="005C70FD">
      <w:pPr>
        <w:rPr>
          <w:lang w:val="ru-RU"/>
        </w:rPr>
      </w:pP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5C70FD" w:rsidRPr="00031E50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 кредитов от других бюджетов бюджетной системы Российской Федерации бюджетам муниципального образования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бююджетом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кредитов от других бюджетов бюджетной системы Российской </w:t>
            </w: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70FD" w:rsidRDefault="005C70FD">
      <w:pPr>
        <w:jc w:val="center"/>
      </w:pPr>
    </w:p>
    <w:p w:rsidR="005C70FD" w:rsidRDefault="00BB1DF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5C70FD" w:rsidRPr="00031E50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5C70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5C70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5C70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5C70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</w:tbl>
    <w:p w:rsidR="005C70FD" w:rsidRDefault="005C70FD">
      <w:pPr>
        <w:sectPr w:rsidR="005C70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5C70FD" w:rsidRDefault="005C70FD"/>
        </w:tc>
      </w:tr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C70FD" w:rsidRDefault="005C70FD"/>
        </w:tc>
      </w:tr>
      <w:tr w:rsidR="005C70FD" w:rsidRPr="000E599C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</w:tbl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2024 год</w:t>
      </w:r>
    </w:p>
    <w:p w:rsidR="005C70FD" w:rsidRPr="00031E50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center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5C70FD" w:rsidRPr="00031E50" w:rsidRDefault="005C70FD">
      <w:pPr>
        <w:rPr>
          <w:lang w:val="ru-RU"/>
        </w:rPr>
      </w:pPr>
    </w:p>
    <w:p w:rsidR="005C70FD" w:rsidRPr="00031E50" w:rsidRDefault="00BB1DFD">
      <w:pPr>
        <w:ind w:firstLine="800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5C70FD" w:rsidRPr="00031E50" w:rsidRDefault="005C70FD">
      <w:pPr>
        <w:rPr>
          <w:lang w:val="ru-RU"/>
        </w:rPr>
        <w:sectPr w:rsidR="005C70FD" w:rsidRPr="00031E5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C70FD"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5C70FD" w:rsidRDefault="005C70FD"/>
        </w:tc>
      </w:tr>
      <w:tr w:rsidR="005C70FD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C70FD" w:rsidRDefault="005C70FD"/>
        </w:tc>
      </w:tr>
      <w:tr w:rsidR="005C70FD" w:rsidRPr="000E599C">
        <w:tc>
          <w:tcPr>
            <w:tcW w:w="2500" w:type="pct"/>
          </w:tcPr>
          <w:p w:rsidR="005C70FD" w:rsidRDefault="005C70FD"/>
        </w:tc>
        <w:tc>
          <w:tcPr>
            <w:tcW w:w="2500" w:type="pct"/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  <w:tr w:rsidR="005C70FD" w:rsidRPr="000E599C">
        <w:trPr>
          <w:gridAfter w:val="1"/>
          <w:wAfter w:w="2500" w:type="dxa"/>
        </w:trPr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70FD" w:rsidRPr="00031E50" w:rsidRDefault="005C70FD">
            <w:pPr>
              <w:rPr>
                <w:lang w:val="ru-RU"/>
              </w:rPr>
            </w:pPr>
          </w:p>
        </w:tc>
      </w:tr>
    </w:tbl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C70FD" w:rsidRPr="00031E50" w:rsidRDefault="00BB1DFD">
      <w:pPr>
        <w:jc w:val="center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2025 и 2026 годы</w:t>
      </w:r>
    </w:p>
    <w:p w:rsidR="005C70FD" w:rsidRPr="00031E50" w:rsidRDefault="005C70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482"/>
        <w:gridCol w:w="482"/>
        <w:gridCol w:w="1163"/>
        <w:gridCol w:w="1762"/>
      </w:tblGrid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5C70FD"/>
        </w:tc>
      </w:tr>
      <w:tr w:rsidR="005C70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0FD" w:rsidRPr="000E599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Default="00BB1D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70FD" w:rsidRPr="00031E50" w:rsidRDefault="00BB1DFD">
            <w:pPr>
              <w:jc w:val="left"/>
              <w:rPr>
                <w:lang w:val="ru-RU"/>
              </w:rPr>
            </w:pPr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Ребрихинский</w:t>
            </w:r>
            <w:proofErr w:type="spellEnd"/>
            <w:r w:rsidRPr="00031E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5C70FD" w:rsidRPr="00031E50" w:rsidRDefault="005C70FD">
      <w:pPr>
        <w:rPr>
          <w:lang w:val="ru-RU"/>
        </w:rPr>
      </w:pPr>
    </w:p>
    <w:p w:rsidR="005C70FD" w:rsidRPr="00031E50" w:rsidRDefault="00BB1DFD">
      <w:pPr>
        <w:ind w:firstLine="800"/>
        <w:rPr>
          <w:lang w:val="ru-RU"/>
        </w:rPr>
      </w:pPr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3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sectPr w:rsidR="005C70FD" w:rsidRPr="00031E50" w:rsidSect="00C9664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70FD"/>
    <w:rsid w:val="00031E50"/>
    <w:rsid w:val="000E599C"/>
    <w:rsid w:val="00364A7E"/>
    <w:rsid w:val="005C70FD"/>
    <w:rsid w:val="00BB1DFD"/>
    <w:rsid w:val="00C96649"/>
    <w:rsid w:val="00F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649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96649"/>
    <w:rPr>
      <w:vertAlign w:val="superscript"/>
    </w:rPr>
  </w:style>
  <w:style w:type="paragraph" w:styleId="a4">
    <w:name w:val="Body Text"/>
    <w:basedOn w:val="a"/>
    <w:link w:val="a5"/>
    <w:rsid w:val="00364A7E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364A7E"/>
    <w:rPr>
      <w:rFonts w:ascii="Times New Roman" w:eastAsia="Times New Roman" w:hAnsi="Times New Roman" w:cs="Times New Roman"/>
      <w:sz w:val="28"/>
    </w:rPr>
  </w:style>
  <w:style w:type="paragraph" w:styleId="a6">
    <w:name w:val="No Spacing"/>
    <w:qFormat/>
    <w:rsid w:val="00364A7E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2023-12-27T04:39:00Z</dcterms:created>
  <dcterms:modified xsi:type="dcterms:W3CDTF">2024-01-15T05:44:00Z</dcterms:modified>
</cp:coreProperties>
</file>